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66B" w:rsidRPr="00C029D9" w:rsidRDefault="0082366B">
      <w:pPr>
        <w:rPr>
          <w:rFonts w:ascii="Arial" w:hAnsi="Arial" w:cs="Arial"/>
          <w:b/>
          <w:sz w:val="20"/>
          <w:szCs w:val="20"/>
        </w:rPr>
      </w:pPr>
      <w:r w:rsidRPr="00C029D9">
        <w:rPr>
          <w:rFonts w:ascii="Arial" w:hAnsi="Arial" w:cs="Arial"/>
          <w:b/>
          <w:sz w:val="20"/>
          <w:szCs w:val="20"/>
        </w:rPr>
        <w:t xml:space="preserve">Hinterlüftete Fassadenkonstruktion aus Novelis FF2 als </w:t>
      </w:r>
      <w:r w:rsidR="003D40CB" w:rsidRPr="00C029D9">
        <w:rPr>
          <w:rFonts w:ascii="Arial" w:hAnsi="Arial" w:cs="Arial"/>
          <w:b/>
          <w:sz w:val="20"/>
          <w:szCs w:val="20"/>
        </w:rPr>
        <w:t>Kassette mit Clipbefestigung</w:t>
      </w:r>
    </w:p>
    <w:p w:rsidR="0082366B" w:rsidRPr="00C029D9" w:rsidRDefault="0082366B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 xml:space="preserve">Liefern und Montieren einer vorgehängten, hinterlüfteten Fassadenkonstruktion mit </w:t>
      </w:r>
      <w:r w:rsidR="003D40CB" w:rsidRPr="00C029D9">
        <w:rPr>
          <w:rFonts w:ascii="Arial" w:hAnsi="Arial" w:cs="Arial"/>
          <w:sz w:val="20"/>
          <w:szCs w:val="20"/>
        </w:rPr>
        <w:t>Clip-Befestigung</w:t>
      </w:r>
      <w:r w:rsidRPr="00C029D9">
        <w:rPr>
          <w:rFonts w:ascii="Arial" w:hAnsi="Arial" w:cs="Arial"/>
          <w:sz w:val="20"/>
          <w:szCs w:val="20"/>
        </w:rPr>
        <w:t>, bestehend aus gekanteten Kassetten aus Novelis FF2 F</w:t>
      </w:r>
      <w:r w:rsidR="00475309" w:rsidRPr="00C029D9">
        <w:rPr>
          <w:rFonts w:ascii="Arial" w:hAnsi="Arial" w:cs="Arial"/>
          <w:sz w:val="20"/>
          <w:szCs w:val="20"/>
        </w:rPr>
        <w:t xml:space="preserve">assadenmaterial </w:t>
      </w:r>
      <w:r w:rsidR="00A07523">
        <w:rPr>
          <w:rFonts w:ascii="Arial" w:hAnsi="Arial" w:cs="Arial"/>
          <w:sz w:val="20"/>
          <w:szCs w:val="20"/>
        </w:rPr>
        <w:t xml:space="preserve">gemäß Materialspezifikation </w:t>
      </w:r>
      <w:bookmarkStart w:id="0" w:name="_GoBack"/>
      <w:bookmarkEnd w:id="0"/>
      <w:r w:rsidR="00475309" w:rsidRPr="00C029D9">
        <w:rPr>
          <w:rFonts w:ascii="Arial" w:hAnsi="Arial" w:cs="Arial"/>
          <w:sz w:val="20"/>
          <w:szCs w:val="20"/>
        </w:rPr>
        <w:t>mit passender Unterkonstruktion und Mineralwolle-Dämmung.</w:t>
      </w:r>
    </w:p>
    <w:p w:rsidR="00475309" w:rsidRPr="00C029D9" w:rsidRDefault="00475309" w:rsidP="00475309">
      <w:pPr>
        <w:ind w:left="1418" w:hanging="1418"/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Dämmung:</w:t>
      </w:r>
      <w:r w:rsidRPr="00C029D9">
        <w:rPr>
          <w:rFonts w:ascii="Arial" w:hAnsi="Arial" w:cs="Arial"/>
          <w:sz w:val="20"/>
          <w:szCs w:val="20"/>
        </w:rPr>
        <w:tab/>
        <w:t>Wärmeleitgruppe:</w:t>
      </w:r>
      <w:r w:rsidRPr="00C029D9">
        <w:rPr>
          <w:rFonts w:ascii="Arial" w:hAnsi="Arial" w:cs="Arial"/>
          <w:sz w:val="20"/>
          <w:szCs w:val="20"/>
        </w:rPr>
        <w:tab/>
      </w:r>
      <w:r w:rsidRPr="00C029D9">
        <w:rPr>
          <w:rFonts w:ascii="Arial" w:hAnsi="Arial" w:cs="Arial"/>
          <w:sz w:val="20"/>
          <w:szCs w:val="20"/>
        </w:rPr>
        <w:tab/>
      </w:r>
      <w:r w:rsidR="00074AF9" w:rsidRPr="00C029D9">
        <w:rPr>
          <w:rFonts w:ascii="Arial" w:hAnsi="Arial" w:cs="Arial"/>
          <w:sz w:val="20"/>
          <w:szCs w:val="20"/>
        </w:rPr>
        <w:t>____________________</w:t>
      </w:r>
      <w:r w:rsidR="00074AF9" w:rsidRPr="00C029D9">
        <w:rPr>
          <w:rFonts w:ascii="Arial" w:hAnsi="Arial" w:cs="Arial"/>
          <w:sz w:val="20"/>
          <w:szCs w:val="20"/>
        </w:rPr>
        <w:br/>
      </w:r>
      <w:r w:rsidRPr="00C029D9">
        <w:rPr>
          <w:rFonts w:ascii="Arial" w:hAnsi="Arial" w:cs="Arial"/>
          <w:sz w:val="20"/>
          <w:szCs w:val="20"/>
        </w:rPr>
        <w:t>Anwendungsbereich:</w:t>
      </w:r>
      <w:r w:rsidRPr="00C029D9">
        <w:rPr>
          <w:rFonts w:ascii="Arial" w:hAnsi="Arial" w:cs="Arial"/>
          <w:sz w:val="20"/>
          <w:szCs w:val="20"/>
        </w:rPr>
        <w:tab/>
      </w:r>
      <w:r w:rsidRPr="00C029D9">
        <w:rPr>
          <w:rFonts w:ascii="Arial" w:hAnsi="Arial" w:cs="Arial"/>
          <w:sz w:val="20"/>
          <w:szCs w:val="20"/>
        </w:rPr>
        <w:tab/>
        <w:t xml:space="preserve">____________________ </w:t>
      </w:r>
      <w:r w:rsidRPr="00C029D9">
        <w:rPr>
          <w:rFonts w:ascii="Arial" w:hAnsi="Arial" w:cs="Arial"/>
          <w:sz w:val="20"/>
          <w:szCs w:val="20"/>
        </w:rPr>
        <w:br/>
        <w:t>Plattendicke:</w:t>
      </w:r>
      <w:r w:rsidRPr="00C029D9">
        <w:rPr>
          <w:rFonts w:ascii="Arial" w:hAnsi="Arial" w:cs="Arial"/>
          <w:sz w:val="20"/>
          <w:szCs w:val="20"/>
        </w:rPr>
        <w:tab/>
      </w:r>
      <w:r w:rsidRPr="00C029D9">
        <w:rPr>
          <w:rFonts w:ascii="Arial" w:hAnsi="Arial" w:cs="Arial"/>
          <w:sz w:val="20"/>
          <w:szCs w:val="20"/>
        </w:rPr>
        <w:tab/>
      </w:r>
      <w:r w:rsidRPr="00C029D9">
        <w:rPr>
          <w:rFonts w:ascii="Arial" w:hAnsi="Arial" w:cs="Arial"/>
          <w:sz w:val="20"/>
          <w:szCs w:val="20"/>
        </w:rPr>
        <w:tab/>
        <w:t>____________________</w:t>
      </w:r>
      <w:r w:rsidRPr="00C029D9">
        <w:rPr>
          <w:rFonts w:ascii="Arial" w:hAnsi="Arial" w:cs="Arial"/>
          <w:sz w:val="20"/>
          <w:szCs w:val="20"/>
        </w:rPr>
        <w:br/>
        <w:t>Material:</w:t>
      </w:r>
      <w:r w:rsidRPr="00C029D9">
        <w:rPr>
          <w:rFonts w:ascii="Arial" w:hAnsi="Arial" w:cs="Arial"/>
          <w:sz w:val="20"/>
          <w:szCs w:val="20"/>
        </w:rPr>
        <w:tab/>
      </w:r>
      <w:r w:rsidRPr="00C029D9">
        <w:rPr>
          <w:rFonts w:ascii="Arial" w:hAnsi="Arial" w:cs="Arial"/>
          <w:sz w:val="20"/>
          <w:szCs w:val="20"/>
        </w:rPr>
        <w:tab/>
      </w:r>
      <w:r w:rsidRPr="00C029D9">
        <w:rPr>
          <w:rFonts w:ascii="Arial" w:hAnsi="Arial" w:cs="Arial"/>
          <w:sz w:val="20"/>
          <w:szCs w:val="20"/>
        </w:rPr>
        <w:tab/>
        <w:t>____________________</w:t>
      </w:r>
      <w:r w:rsidRPr="00C029D9">
        <w:rPr>
          <w:rFonts w:ascii="Arial" w:hAnsi="Arial" w:cs="Arial"/>
          <w:sz w:val="20"/>
          <w:szCs w:val="20"/>
        </w:rPr>
        <w:br/>
        <w:t>Vlieskaschierung:</w:t>
      </w:r>
      <w:r w:rsidRPr="00C029D9">
        <w:rPr>
          <w:rFonts w:ascii="Arial" w:hAnsi="Arial" w:cs="Arial"/>
          <w:sz w:val="20"/>
          <w:szCs w:val="20"/>
        </w:rPr>
        <w:tab/>
      </w:r>
      <w:r w:rsidRPr="00C029D9">
        <w:rPr>
          <w:rFonts w:ascii="Arial" w:hAnsi="Arial" w:cs="Arial"/>
          <w:sz w:val="20"/>
          <w:szCs w:val="20"/>
        </w:rPr>
        <w:tab/>
        <w:t>□ Ja</w:t>
      </w:r>
      <w:r w:rsidRPr="00C029D9">
        <w:rPr>
          <w:rFonts w:ascii="Arial" w:hAnsi="Arial" w:cs="Arial"/>
          <w:sz w:val="20"/>
          <w:szCs w:val="20"/>
        </w:rPr>
        <w:tab/>
        <w:t>□ Nein</w:t>
      </w:r>
    </w:p>
    <w:p w:rsidR="00475309" w:rsidRPr="00C029D9" w:rsidRDefault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Entsprechend den länderspezifischen Anforderungen und den Forderungen aus der DIN, jedoch mindest</w:t>
      </w:r>
      <w:r w:rsidR="00CF3BF6" w:rsidRPr="00C029D9">
        <w:rPr>
          <w:rFonts w:ascii="Arial" w:hAnsi="Arial" w:cs="Arial"/>
          <w:sz w:val="20"/>
          <w:szCs w:val="20"/>
        </w:rPr>
        <w:t>ens jedes 2. Geschoss ist eine h</w:t>
      </w:r>
      <w:r w:rsidRPr="00C029D9">
        <w:rPr>
          <w:rFonts w:ascii="Arial" w:hAnsi="Arial" w:cs="Arial"/>
          <w:sz w:val="20"/>
          <w:szCs w:val="20"/>
        </w:rPr>
        <w:t>orizontale Brandsperre vorzusehen.</w:t>
      </w:r>
    </w:p>
    <w:p w:rsidR="00475309" w:rsidRPr="00C029D9" w:rsidRDefault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 xml:space="preserve">Die Standard-Kassetten werden oben Z-förmig, unten U-förmig, seitlich L-förmig entsprechend den statischen Anforderungen gekantet. </w:t>
      </w:r>
    </w:p>
    <w:p w:rsidR="00475309" w:rsidRPr="00C029D9" w:rsidRDefault="00475309" w:rsidP="00475309">
      <w:pPr>
        <w:ind w:left="1416" w:hanging="1416"/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Umkantung:</w:t>
      </w:r>
      <w:r w:rsidRPr="00C029D9">
        <w:rPr>
          <w:rFonts w:ascii="Arial" w:hAnsi="Arial" w:cs="Arial"/>
          <w:sz w:val="20"/>
          <w:szCs w:val="20"/>
        </w:rPr>
        <w:tab/>
        <w:t>□ Ecken dicht gekantet</w:t>
      </w:r>
      <w:r w:rsidRPr="00C029D9">
        <w:rPr>
          <w:rFonts w:ascii="Arial" w:hAnsi="Arial" w:cs="Arial"/>
          <w:sz w:val="20"/>
          <w:szCs w:val="20"/>
        </w:rPr>
        <w:br/>
        <w:t>□ Ecken umgelegt</w:t>
      </w:r>
      <w:r w:rsidRPr="00C029D9">
        <w:rPr>
          <w:rFonts w:ascii="Arial" w:hAnsi="Arial" w:cs="Arial"/>
          <w:sz w:val="20"/>
          <w:szCs w:val="20"/>
        </w:rPr>
        <w:br/>
        <w:t>□ Ecken umgelegt, ineinandergreifend</w:t>
      </w:r>
    </w:p>
    <w:p w:rsidR="00475309" w:rsidRPr="00C029D9" w:rsidRDefault="00475309" w:rsidP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 xml:space="preserve">Mittige Kassettenaussteifungen sind </w:t>
      </w:r>
      <w:r w:rsidR="00074AF9" w:rsidRPr="00C029D9">
        <w:rPr>
          <w:rFonts w:ascii="Arial" w:hAnsi="Arial" w:cs="Arial"/>
          <w:sz w:val="20"/>
          <w:szCs w:val="20"/>
        </w:rPr>
        <w:t xml:space="preserve">falls erforderlich </w:t>
      </w:r>
      <w:r w:rsidRPr="00C029D9">
        <w:rPr>
          <w:rFonts w:ascii="Arial" w:hAnsi="Arial" w:cs="Arial"/>
          <w:sz w:val="20"/>
          <w:szCs w:val="20"/>
        </w:rPr>
        <w:t xml:space="preserve">rückseitig einzukleben. </w:t>
      </w:r>
    </w:p>
    <w:p w:rsidR="00475309" w:rsidRPr="00C029D9" w:rsidRDefault="003D40CB" w:rsidP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Die Kassettenbefestigung erfolgt mittels Befestigungsclips zwängungsfrei auf der Unterkonstruktion. Diese ist als Fest- und Gleitpunktkonstruktion mittels Aluminiumprofilen auszuführen.</w:t>
      </w:r>
    </w:p>
    <w:p w:rsidR="00475309" w:rsidRPr="00C029D9" w:rsidRDefault="00475309" w:rsidP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Alle Befestigungs- und Verbindungsmittel müssen aus nichtrostendem Stahl ausgeführt werden. Bei den Dübeln ist die Brauchbarkeit durch entsprechende Zulassungen aus Auszugsversuche</w:t>
      </w:r>
      <w:r w:rsidR="00CF3BF6" w:rsidRPr="00C029D9">
        <w:rPr>
          <w:rFonts w:ascii="Arial" w:hAnsi="Arial" w:cs="Arial"/>
          <w:sz w:val="20"/>
          <w:szCs w:val="20"/>
        </w:rPr>
        <w:t>n</w:t>
      </w:r>
      <w:r w:rsidRPr="00C029D9">
        <w:rPr>
          <w:rFonts w:ascii="Arial" w:hAnsi="Arial" w:cs="Arial"/>
          <w:sz w:val="20"/>
          <w:szCs w:val="20"/>
        </w:rPr>
        <w:t xml:space="preserve"> nachzuweisen.</w:t>
      </w:r>
    </w:p>
    <w:p w:rsidR="005614F0" w:rsidRPr="00C029D9" w:rsidRDefault="005614F0" w:rsidP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Die Fassadenkonstruktion hat der Baustoffklasse A1 zu entsprechen.</w:t>
      </w:r>
    </w:p>
    <w:p w:rsidR="00475309" w:rsidRPr="00C029D9" w:rsidRDefault="00475309" w:rsidP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Der Auftragnehmer hat vor Fertigungsbegi</w:t>
      </w:r>
      <w:r w:rsidR="003D40CB" w:rsidRPr="00C029D9">
        <w:rPr>
          <w:rFonts w:ascii="Arial" w:hAnsi="Arial" w:cs="Arial"/>
          <w:sz w:val="20"/>
          <w:szCs w:val="20"/>
        </w:rPr>
        <w:t>n</w:t>
      </w:r>
      <w:r w:rsidRPr="00C029D9">
        <w:rPr>
          <w:rFonts w:ascii="Arial" w:hAnsi="Arial" w:cs="Arial"/>
          <w:sz w:val="20"/>
          <w:szCs w:val="20"/>
        </w:rPr>
        <w:t xml:space="preserve">n eine prüffähige statische Berechnung und Konstruktionszeichnungen dem Prüfstatiker vorzulegen. Die Kosten für den Prüfstatiker werden vom Auftraggeber übernommen. </w:t>
      </w:r>
    </w:p>
    <w:p w:rsidR="00475309" w:rsidRPr="00C029D9" w:rsidRDefault="005614F0" w:rsidP="00475309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>Die Fassadenkonstruktion ist gemäß den Detailzeichnungen und Verlegeplänen des Architekten auszuführen.</w:t>
      </w:r>
    </w:p>
    <w:p w:rsidR="00CB4666" w:rsidRPr="00C029D9" w:rsidRDefault="00CB4666">
      <w:pPr>
        <w:rPr>
          <w:rFonts w:ascii="Arial" w:hAnsi="Arial" w:cs="Arial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br w:type="page"/>
      </w:r>
    </w:p>
    <w:p w:rsidR="00CB4666" w:rsidRPr="00C029D9" w:rsidRDefault="00CB4666" w:rsidP="00CB4666">
      <w:pPr>
        <w:rPr>
          <w:rFonts w:ascii="Arial" w:hAnsi="Arial" w:cs="Arial"/>
          <w:b/>
          <w:sz w:val="20"/>
          <w:szCs w:val="20"/>
        </w:rPr>
      </w:pPr>
      <w:r w:rsidRPr="00C029D9">
        <w:rPr>
          <w:rFonts w:ascii="Arial" w:hAnsi="Arial" w:cs="Arial"/>
          <w:b/>
          <w:sz w:val="20"/>
          <w:szCs w:val="20"/>
        </w:rPr>
        <w:lastRenderedPageBreak/>
        <w:t>Materialspezifikation der Fassade: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sz w:val="20"/>
          <w:szCs w:val="20"/>
        </w:rPr>
        <w:t xml:space="preserve">Trägermaterial: </w:t>
      </w:r>
      <w:r w:rsidRPr="00C029D9">
        <w:rPr>
          <w:rFonts w:ascii="Arial" w:hAnsi="Arial" w:cs="Arial"/>
          <w:sz w:val="20"/>
          <w:szCs w:val="20"/>
        </w:rPr>
        <w:tab/>
        <w:t>Novelis FF2 Farbaluminium für Fassaden</w:t>
      </w:r>
      <w:r w:rsidRPr="00C029D9">
        <w:rPr>
          <w:rFonts w:ascii="Arial" w:hAnsi="Arial" w:cs="Arial"/>
          <w:sz w:val="20"/>
          <w:szCs w:val="20"/>
        </w:rPr>
        <w:br/>
      </w:r>
      <w:r w:rsidRPr="00C029D9">
        <w:rPr>
          <w:rFonts w:ascii="Arial" w:hAnsi="Arial" w:cs="Arial"/>
          <w:bCs/>
          <w:color w:val="000000"/>
          <w:sz w:val="20"/>
          <w:szCs w:val="20"/>
        </w:rPr>
        <w:t>2,0 mm dick, sonderplan und entspannt.</w:t>
      </w:r>
      <w:r w:rsidRPr="00C029D9">
        <w:rPr>
          <w:rFonts w:ascii="Arial" w:hAnsi="Arial" w:cs="Arial"/>
          <w:sz w:val="20"/>
          <w:szCs w:val="20"/>
        </w:rPr>
        <w:br/>
        <w:t xml:space="preserve">Legierung: </w:t>
      </w:r>
      <w:r w:rsidRPr="00C029D9">
        <w:rPr>
          <w:rFonts w:ascii="Arial" w:hAnsi="Arial" w:cs="Arial"/>
          <w:color w:val="000000"/>
          <w:sz w:val="20"/>
          <w:szCs w:val="20"/>
        </w:rPr>
        <w:t xml:space="preserve">WG-53S (AlMg3 nach EN 573-3), AA5754, Zustand H42 nach EN 1396 </w:t>
      </w:r>
      <w:r w:rsidRPr="00C029D9">
        <w:rPr>
          <w:rFonts w:ascii="Arial" w:hAnsi="Arial" w:cs="Arial"/>
          <w:color w:val="000000"/>
          <w:sz w:val="20"/>
          <w:szCs w:val="20"/>
        </w:rPr>
        <w:br/>
        <w:t>Recyclinganteil des Aluminiums über 80%.</w:t>
      </w:r>
      <w:r w:rsidRPr="00C029D9">
        <w:rPr>
          <w:rFonts w:ascii="Arial" w:hAnsi="Arial" w:cs="Arial"/>
          <w:color w:val="000000"/>
          <w:sz w:val="20"/>
          <w:szCs w:val="20"/>
        </w:rPr>
        <w:br/>
        <w:t>Toleranzen nach EN 485-4 (DIN 1783) ½ Euro-Norm.</w:t>
      </w:r>
      <w:r w:rsidRPr="00C029D9">
        <w:rPr>
          <w:rFonts w:ascii="Arial" w:hAnsi="Arial" w:cs="Arial"/>
          <w:color w:val="000000"/>
          <w:sz w:val="20"/>
          <w:szCs w:val="20"/>
        </w:rPr>
        <w:br/>
        <w:t>Mechanische Werte nach EN 1396 und EN 10002-1</w:t>
      </w:r>
      <w:r w:rsidRPr="00C029D9">
        <w:rPr>
          <w:rFonts w:ascii="Arial" w:hAnsi="Arial" w:cs="Arial"/>
          <w:color w:val="000000"/>
          <w:sz w:val="20"/>
          <w:szCs w:val="20"/>
        </w:rPr>
        <w:br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Zugfestigkeit Rm:</w:t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220-260 MPa</w:t>
      </w:r>
      <w:r w:rsidRPr="00C029D9">
        <w:rPr>
          <w:rFonts w:ascii="Arial" w:hAnsi="Arial" w:cs="Arial"/>
          <w:color w:val="000000"/>
          <w:sz w:val="20"/>
          <w:szCs w:val="20"/>
        </w:rPr>
        <w:br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Dehngrenze Rp0,2:</w:t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165-200 MPa</w:t>
      </w:r>
      <w:r w:rsidRPr="00C029D9">
        <w:rPr>
          <w:rFonts w:ascii="Arial" w:hAnsi="Arial" w:cs="Arial"/>
          <w:color w:val="000000"/>
          <w:sz w:val="20"/>
          <w:szCs w:val="20"/>
        </w:rPr>
        <w:br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Bruchdehnung A 50:</w:t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&gt; 9%</w:t>
      </w:r>
      <w:r w:rsidRPr="00C029D9">
        <w:rPr>
          <w:rFonts w:ascii="Arial" w:hAnsi="Arial" w:cs="Arial"/>
          <w:color w:val="000000"/>
          <w:sz w:val="20"/>
          <w:szCs w:val="20"/>
        </w:rPr>
        <w:br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zulässige Spannung:</w:t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96 Mpa nach DIN 4113</w:t>
      </w:r>
      <w:r w:rsidRPr="00C029D9">
        <w:rPr>
          <w:rFonts w:ascii="Arial" w:hAnsi="Arial" w:cs="Arial"/>
          <w:color w:val="000000"/>
          <w:sz w:val="20"/>
          <w:szCs w:val="20"/>
        </w:rPr>
        <w:br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</w:r>
      <w:r w:rsidRPr="00C029D9">
        <w:rPr>
          <w:rFonts w:ascii="Arial" w:hAnsi="Arial" w:cs="Arial"/>
          <w:color w:val="000000"/>
          <w:sz w:val="20"/>
          <w:szCs w:val="20"/>
        </w:rPr>
        <w:tab/>
        <w:t>Ausdehnungskoeffizient: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0,024 mm/m/ C°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Vorbehandlung: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Chromfreie Vorbehandlung. Kein Voreloxieren in aggressiven Umgebungen wie Küsten, Bahnhöfen, Flughäfen oder Industriegebieten erforderlich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Beschichtung:</w:t>
      </w:r>
      <w:r w:rsidRPr="00C029D9">
        <w:rPr>
          <w:rFonts w:ascii="Arial" w:hAnsi="Arial" w:cs="Arial"/>
          <w:color w:val="000000"/>
          <w:sz w:val="20"/>
          <w:szCs w:val="20"/>
        </w:rPr>
        <w:tab/>
        <w:t xml:space="preserve">Bandbeschichtung im Coil Coating Verfahren eingebrannt nach den Richtlinien der </w:t>
      </w:r>
      <w:r w:rsidRPr="00C029D9">
        <w:rPr>
          <w:rFonts w:ascii="Arial" w:hAnsi="Arial" w:cs="Arial"/>
          <w:color w:val="000000"/>
          <w:sz w:val="20"/>
          <w:szCs w:val="20"/>
        </w:rPr>
        <w:br/>
        <w:t xml:space="preserve">ECCA (European Coil Coating Association). </w:t>
      </w:r>
      <w:r w:rsidRPr="00C029D9">
        <w:rPr>
          <w:rFonts w:ascii="Arial" w:hAnsi="Arial" w:cs="Arial"/>
          <w:color w:val="000000"/>
          <w:sz w:val="20"/>
          <w:szCs w:val="20"/>
        </w:rPr>
        <w:br/>
        <w:t>Keine Pulverbeschichtung.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Lacksystem: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Bei Uni, Metallic, Effekt und Design-Farben PVdF, Kynar 500 / Hylar 2000, 80/20 im 2 bis 4-Schicht Aufbau</w:t>
      </w:r>
      <w:r w:rsidRPr="00C029D9"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 w:rsidRPr="00C029D9">
        <w:rPr>
          <w:rFonts w:ascii="Arial" w:hAnsi="Arial" w:cs="Arial"/>
          <w:color w:val="000000"/>
          <w:sz w:val="20"/>
          <w:szCs w:val="20"/>
        </w:rPr>
        <w:br/>
        <w:t>Fluorpolymerlack im 2 bis 4-Schicht-Aufbau.</w:t>
      </w:r>
      <w:r w:rsidRPr="00C029D9"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 w:rsidRPr="00C029D9">
        <w:rPr>
          <w:rFonts w:ascii="Arial" w:hAnsi="Arial" w:cs="Arial"/>
          <w:color w:val="000000"/>
          <w:sz w:val="20"/>
          <w:szCs w:val="20"/>
        </w:rPr>
        <w:br/>
        <w:t>Strukturoberflächen und Design-Farben mit Strukturoberflächen im NWS-Lacksystem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Lackdicken:</w:t>
      </w:r>
      <w:r w:rsidRPr="00C029D9">
        <w:rPr>
          <w:rFonts w:ascii="Arial" w:hAnsi="Arial" w:cs="Arial"/>
          <w:color w:val="000000"/>
          <w:sz w:val="20"/>
          <w:szCs w:val="20"/>
        </w:rPr>
        <w:tab/>
        <w:t xml:space="preserve">Uni-Farbton: </w:t>
      </w:r>
      <w:r w:rsidRPr="00C029D9">
        <w:rPr>
          <w:rFonts w:ascii="Arial" w:hAnsi="Arial" w:cs="Arial"/>
          <w:color w:val="000000"/>
          <w:sz w:val="20"/>
          <w:szCs w:val="20"/>
        </w:rPr>
        <w:tab/>
        <w:t>21-26 µm (+2/-1 µm)</w:t>
      </w:r>
      <w:r w:rsidRPr="00C029D9">
        <w:rPr>
          <w:rFonts w:ascii="Arial" w:hAnsi="Arial" w:cs="Arial"/>
          <w:color w:val="000000"/>
          <w:sz w:val="20"/>
          <w:szCs w:val="20"/>
        </w:rPr>
        <w:br/>
        <w:t>Metallic-Farbton</w:t>
      </w:r>
      <w:r w:rsidRPr="00C029D9">
        <w:rPr>
          <w:rFonts w:ascii="Arial" w:hAnsi="Arial" w:cs="Arial"/>
          <w:color w:val="000000"/>
          <w:sz w:val="20"/>
          <w:szCs w:val="20"/>
        </w:rPr>
        <w:tab/>
        <w:t>30-40 µm (+4/-2 µm)</w:t>
      </w:r>
      <w:r w:rsidRPr="00C029D9">
        <w:rPr>
          <w:rFonts w:ascii="Arial" w:hAnsi="Arial" w:cs="Arial"/>
          <w:color w:val="000000"/>
          <w:sz w:val="20"/>
          <w:szCs w:val="20"/>
        </w:rPr>
        <w:br/>
        <w:t>Design-Oberfläche: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30-40 µm (+4/-2 µm)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Farbton: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□ Uni-Farbton, Novelis Farbbezeichnung: ____-__ | __________</w:t>
      </w:r>
      <w:r w:rsidRPr="00C029D9">
        <w:rPr>
          <w:rFonts w:ascii="Arial" w:hAnsi="Arial" w:cs="Arial"/>
          <w:color w:val="000000"/>
          <w:sz w:val="20"/>
          <w:szCs w:val="20"/>
        </w:rPr>
        <w:br/>
        <w:t>□ Uni-Farbton nach RAL ____ / Glanzgrad ____</w:t>
      </w:r>
      <w:r w:rsidRPr="00C029D9">
        <w:rPr>
          <w:rFonts w:ascii="Arial" w:hAnsi="Arial" w:cs="Arial"/>
          <w:color w:val="000000"/>
          <w:sz w:val="20"/>
          <w:szCs w:val="20"/>
        </w:rPr>
        <w:br/>
        <w:t>□ Metallic-Farbton Novelis Farbbezeichnung: ____-__ | __________</w:t>
      </w:r>
      <w:r w:rsidRPr="00C029D9">
        <w:rPr>
          <w:rFonts w:ascii="Arial" w:hAnsi="Arial" w:cs="Arial"/>
          <w:color w:val="000000"/>
          <w:sz w:val="20"/>
          <w:szCs w:val="20"/>
        </w:rPr>
        <w:br/>
        <w:t>□ Metallic-Farbton, nach RAL ____ / Glanzgrad ____</w:t>
      </w:r>
      <w:r w:rsidRPr="00C029D9">
        <w:rPr>
          <w:rFonts w:ascii="Arial" w:hAnsi="Arial" w:cs="Arial"/>
          <w:color w:val="000000"/>
          <w:sz w:val="20"/>
          <w:szCs w:val="20"/>
        </w:rPr>
        <w:br/>
        <w:t>□ Design-Oberfläche, Novelis Farbbezeichnung: ____-__ | __________</w:t>
      </w:r>
      <w:r w:rsidRPr="00C029D9">
        <w:rPr>
          <w:rFonts w:ascii="Arial" w:hAnsi="Arial" w:cs="Arial"/>
          <w:color w:val="000000"/>
          <w:sz w:val="20"/>
          <w:szCs w:val="20"/>
        </w:rPr>
        <w:br/>
        <w:t xml:space="preserve">□ Effekt-Lackierung, Novelis Farbname: __________ </w:t>
      </w:r>
      <w:r w:rsidRPr="00C029D9">
        <w:rPr>
          <w:rFonts w:ascii="Arial" w:hAnsi="Arial" w:cs="Arial"/>
          <w:color w:val="000000"/>
          <w:sz w:val="20"/>
          <w:szCs w:val="20"/>
        </w:rPr>
        <w:br/>
        <w:t>□ NWS-Strukturoberfläche Novelis Farbbezeichnung: ____-__ | __________</w:t>
      </w:r>
      <w:r w:rsidRPr="00C029D9">
        <w:rPr>
          <w:rFonts w:ascii="Arial" w:hAnsi="Arial" w:cs="Arial"/>
          <w:color w:val="000000"/>
          <w:sz w:val="20"/>
          <w:szCs w:val="20"/>
        </w:rPr>
        <w:br/>
        <w:t xml:space="preserve">□ NWS-Strukturoberfläche nach RAL ____  </w:t>
      </w:r>
      <w:r w:rsidRPr="00C029D9">
        <w:rPr>
          <w:rFonts w:ascii="Arial" w:hAnsi="Arial" w:cs="Arial"/>
          <w:color w:val="000000"/>
          <w:sz w:val="20"/>
          <w:szCs w:val="20"/>
        </w:rPr>
        <w:br/>
        <w:t>□ Farbton gemäß Entwicklungsnummer ____/__</w:t>
      </w:r>
      <w:r w:rsidRPr="00C029D9">
        <w:rPr>
          <w:rFonts w:ascii="Arial" w:hAnsi="Arial" w:cs="Arial"/>
          <w:color w:val="000000"/>
          <w:sz w:val="20"/>
          <w:szCs w:val="20"/>
        </w:rPr>
        <w:br/>
        <w:t>□ Farbton nach Wunsch des Architekten aktuell in Entwicklung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Schutzfolie: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abziehbare, schwarz-weiße UV-beständige Schutzfolie 80 µm auf der Sichtseite,</w:t>
      </w:r>
      <w:r w:rsidRPr="00C029D9">
        <w:rPr>
          <w:rFonts w:ascii="Arial" w:hAnsi="Arial" w:cs="Arial"/>
          <w:color w:val="000000"/>
          <w:sz w:val="20"/>
          <w:szCs w:val="20"/>
        </w:rPr>
        <w:br/>
        <w:t>die Schutzfolie kann bis zu 6 Monate nach der Montage auf den installierten Elementen verbleiben.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Rückseite: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Schutzlack, 3 – 6 µm</w:t>
      </w:r>
      <w:r w:rsidRPr="00C029D9">
        <w:rPr>
          <w:rFonts w:ascii="Arial" w:hAnsi="Arial" w:cs="Arial"/>
          <w:color w:val="000000"/>
          <w:sz w:val="20"/>
          <w:szCs w:val="20"/>
        </w:rPr>
        <w:br/>
        <w:t>Signierung mit Bandnummer und Walzrichtung</w:t>
      </w:r>
      <w:r w:rsidRPr="00C029D9">
        <w:rPr>
          <w:rFonts w:ascii="Arial" w:hAnsi="Arial" w:cs="Arial"/>
          <w:color w:val="000000"/>
          <w:sz w:val="20"/>
          <w:szCs w:val="20"/>
        </w:rPr>
        <w:br/>
        <w:t>zum Verkleben von Aussteifungen geeignet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Baustoffklasse: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Nicht brennbar nach DIN-EN 13501-1, A1, toxikologisch unbedenklich.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FF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Zulassung: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Bauaufsichtliche Zulassung vorhanden. Zulassungsnummer: Z-56.426-592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C029D9">
        <w:rPr>
          <w:rFonts w:ascii="Arial" w:hAnsi="Arial" w:cs="Arial"/>
          <w:color w:val="000000"/>
          <w:sz w:val="20"/>
          <w:szCs w:val="20"/>
        </w:rPr>
        <w:t>Standardformate:</w:t>
      </w:r>
      <w:r w:rsidRPr="00C029D9">
        <w:rPr>
          <w:rFonts w:ascii="Arial" w:hAnsi="Arial" w:cs="Arial"/>
          <w:color w:val="000000"/>
          <w:sz w:val="20"/>
          <w:szCs w:val="20"/>
        </w:rPr>
        <w:tab/>
        <w:t>2 mm x 1500 mm x 3000/4000 mm</w:t>
      </w:r>
      <w:r w:rsidRPr="00C029D9">
        <w:rPr>
          <w:rFonts w:ascii="Arial" w:hAnsi="Arial" w:cs="Arial"/>
          <w:color w:val="000000"/>
          <w:sz w:val="20"/>
          <w:szCs w:val="20"/>
        </w:rPr>
        <w:br/>
        <w:t>Projektbezogen Sonderformate möglich.</w:t>
      </w:r>
    </w:p>
    <w:p w:rsidR="00CB4666" w:rsidRPr="00C029D9" w:rsidRDefault="00CB4666" w:rsidP="00CB4666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</w:p>
    <w:p w:rsidR="005614F0" w:rsidRPr="00C029D9" w:rsidRDefault="005614F0" w:rsidP="00475309">
      <w:pPr>
        <w:rPr>
          <w:rFonts w:ascii="Arial" w:hAnsi="Arial" w:cs="Arial"/>
          <w:sz w:val="20"/>
          <w:szCs w:val="20"/>
        </w:rPr>
      </w:pPr>
    </w:p>
    <w:p w:rsidR="00475309" w:rsidRPr="00C029D9" w:rsidRDefault="00475309">
      <w:pPr>
        <w:rPr>
          <w:rFonts w:ascii="Arial" w:hAnsi="Arial" w:cs="Arial"/>
          <w:sz w:val="20"/>
          <w:szCs w:val="20"/>
        </w:rPr>
      </w:pPr>
    </w:p>
    <w:p w:rsidR="005614F0" w:rsidRPr="00C029D9" w:rsidRDefault="005614F0" w:rsidP="00C5626D">
      <w:pPr>
        <w:rPr>
          <w:rFonts w:ascii="Arial" w:hAnsi="Arial" w:cs="Arial"/>
          <w:sz w:val="20"/>
          <w:szCs w:val="20"/>
        </w:rPr>
      </w:pPr>
    </w:p>
    <w:p w:rsidR="004F6524" w:rsidRPr="00C029D9" w:rsidRDefault="004F6524" w:rsidP="005614F0">
      <w:pPr>
        <w:rPr>
          <w:rFonts w:ascii="Arial" w:hAnsi="Arial" w:cs="Arial"/>
          <w:sz w:val="20"/>
          <w:szCs w:val="20"/>
        </w:rPr>
      </w:pPr>
    </w:p>
    <w:sectPr w:rsidR="004F6524" w:rsidRPr="00C029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6B"/>
    <w:rsid w:val="00074AF9"/>
    <w:rsid w:val="003D40CB"/>
    <w:rsid w:val="00475309"/>
    <w:rsid w:val="004F6524"/>
    <w:rsid w:val="005614F0"/>
    <w:rsid w:val="0082366B"/>
    <w:rsid w:val="00A07523"/>
    <w:rsid w:val="00C029D9"/>
    <w:rsid w:val="00C5626D"/>
    <w:rsid w:val="00CB4666"/>
    <w:rsid w:val="00CF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591B3"/>
  <w15:chartTrackingRefBased/>
  <w15:docId w15:val="{1F0C5A57-E3CF-4A09-B089-5F86433B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4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4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4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B7EB1-05AB-4B69-BD91-3358952E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13</cp:revision>
  <cp:lastPrinted>2016-06-17T08:30:00Z</cp:lastPrinted>
  <dcterms:created xsi:type="dcterms:W3CDTF">2016-06-17T07:48:00Z</dcterms:created>
  <dcterms:modified xsi:type="dcterms:W3CDTF">2016-07-28T06:07:00Z</dcterms:modified>
</cp:coreProperties>
</file>